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jc w:val="center"/>
      </w:pPr>
      <w:r>
        <w:rPr>
          <w:rFonts w:ascii="Georgia" w:hAnsi="Georgia"/>
          <w:b/>
          <w:color w:val="0C2947"/>
          <w:sz w:val="32"/>
        </w:rPr>
        <w:t>Ex Parte Motion for Authorization of Independent DNA Expert Services</w:t>
      </w:r>
    </w:p>
    <w:p>
      <w:pPr>
        <w:spacing w:after="200"/>
        <w:jc w:val="center"/>
      </w:pPr>
      <w:r>
        <w:rPr>
          <w:i/>
          <w:color w:val="444444"/>
          <w:sz w:val="19"/>
        </w:rPr>
        <w:t>Template under S.C. Code Ann. § 17-3-50(B) and Ake v. Oklahoma, 470 U.S. 68 (1985)</w:t>
      </w:r>
      <w:r>
        <w:br/>
      </w:r>
      <w:r>
        <w:rPr>
          <w:i/>
          <w:color w:val="444444"/>
          <w:sz w:val="19"/>
        </w:rPr>
        <w:t>Adapt to your case. Delete all bracketed instructions before filing.</w:t>
      </w:r>
    </w:p>
    <w:p>
      <w:pPr>
        <w:spacing w:after="160"/>
        <w:jc w:val="center"/>
      </w:pPr>
      <w:r>
        <w:rPr>
          <w:sz w:val="20"/>
        </w:rPr>
        <w:t>STATE OF SOUTH CAROLINA, COUNTY OF [________]</w:t>
      </w:r>
      <w:r>
        <w:br/>
      </w:r>
      <w:r>
        <w:rPr>
          <w:sz w:val="20"/>
        </w:rPr>
        <w:t>The State of South Carolina, Plaintiff, vs. [Defendant Name], Defendant.</w:t>
      </w:r>
      <w:r>
        <w:br/>
      </w:r>
      <w:r>
        <w:rPr>
          <w:sz w:val="20"/>
        </w:rPr>
        <w:t>Indictment No. [________]</w:t>
      </w:r>
    </w:p>
    <w:p>
      <w:pPr>
        <w:spacing w:before="120" w:after="160"/>
        <w:jc w:val="center"/>
      </w:pPr>
      <w:r>
        <w:rPr>
          <w:b/>
          <w:sz w:val="23"/>
          <w:u w:val="single"/>
        </w:rPr>
        <w:t>EX PARTE MOTION FOR AUTHORIZATION OF FUNDS FOR INDEPENDENT DNA EXPERT SERVICES</w:t>
      </w:r>
    </w:p>
    <w:p>
      <w:pPr>
        <w:spacing w:after="120"/>
      </w:pPr>
      <w:r>
        <w:t xml:space="preserve">Defendant, [NAME], by and through undersigned counsel, respectfully moves this Court, ex parte and under seal, for authorization of independent forensic DNA expert services pursuant to S.C. Code Ann. § 17-3-50(B) and </w:t>
      </w:r>
      <w:r>
        <w:rPr>
          <w:i/>
        </w:rPr>
        <w:t>Ake v. Oklahoma</w:t>
      </w:r>
      <w:r>
        <w:t>, 470 U.S. 68 (1985), and states:</w:t>
      </w:r>
    </w:p>
    <w:p>
      <w:pPr>
        <w:spacing w:after="120"/>
      </w:pPr>
      <w:r>
        <w:rPr>
          <w:b/>
        </w:rPr>
        <w:t xml:space="preserve">1. </w:t>
      </w:r>
      <w:r>
        <w:t>Defendant is charged with [CHARGE(S)] and is indigent, represented by [appointed counsel / the Public Defender for the ____ Judicial Circuit].</w:t>
      </w:r>
    </w:p>
    <w:p>
      <w:pPr>
        <w:spacing w:after="120"/>
      </w:pPr>
      <w:r>
        <w:rPr>
          <w:b/>
        </w:rPr>
        <w:t xml:space="preserve">2. </w:t>
      </w:r>
      <w:r>
        <w:t xml:space="preserve">The State’s case relies on forensic DNA analysis by [LABORATORY NAME]. The lab issued [report(s) dated ______], concluding [brief description, e.g., “a DNA mixture from ____ includes a profile consistent with Defendant as a contributor”]. DNA is therefore a significant factor at trial, triggering the right to state-funded expert assistance under </w:t>
      </w:r>
      <w:r>
        <w:rPr>
          <w:i/>
        </w:rPr>
        <w:t>Ake v. Oklahoma</w:t>
      </w:r>
      <w:r>
        <w:t>, 470 U.S. 68, 83 (1985).</w:t>
      </w:r>
    </w:p>
    <w:p>
      <w:pPr>
        <w:spacing w:after="120"/>
      </w:pPr>
      <w:r>
        <w:rPr>
          <w:b/>
        </w:rPr>
        <w:t xml:space="preserve">3. </w:t>
      </w:r>
      <w:r>
        <w:t>The State’s conclusions cannot be evaluated from the report alone. Meaningful assessment requires independent review of the underlying data and procedures: electropherograms and raw electronic data (.hid) for all evidence items, references, blanks, and controls; quantification data, input volumes, and dilutions; probabilistic genotyping inputs and outputs (STRmix / TrueAllele run logs, parameter settings, number-of-contributor assumptions, mixture weights, degradation modeling, likelihood ratios, drop-out / drop-in evaluations); mixture interpretation (contributor count, mixture ratios, analytical and stochastic thresholds, stutter interpretation, allele assignments); and laboratory SOPs, validation documents, contamination logs, and corrective-action records covering the testing window.</w:t>
      </w:r>
    </w:p>
    <w:p>
      <w:pPr>
        <w:spacing w:after="120"/>
      </w:pPr>
      <w:r>
        <w:rPr>
          <w:b/>
        </w:rPr>
        <w:t xml:space="preserve">4. </w:t>
      </w:r>
      <w:r>
        <w:t xml:space="preserve">Counsel requests authorization to retain </w:t>
      </w:r>
      <w:r>
        <w:rPr>
          <w:b/>
        </w:rPr>
        <w:t>Paul F. Meeh, Forensic DNA Consultant</w:t>
      </w:r>
      <w:r>
        <w:t>, former Senior Forensic Scientist at SLED (13 years of DNA and serology casework; validated and implemented STRmix; qualified and testified as an expert in DNA analysis and serology in state and federal court; casework under ANAB ISO/IEC 17025 accreditation), for this scope of work:</w:t>
      </w:r>
    </w:p>
    <w:p>
      <w:pPr>
        <w:pStyle w:val="ListBullet"/>
        <w:spacing w:after="60"/>
      </w:pPr>
      <w:r>
        <w:t>Review of electropherograms and raw electronic data for all evidence items, references, blanks, and controls;</w:t>
      </w:r>
    </w:p>
    <w:p>
      <w:pPr>
        <w:pStyle w:val="ListBullet"/>
        <w:spacing w:after="60"/>
      </w:pPr>
      <w:r>
        <w:t>Review of quantification data, amplification logs, thermal cycler records, and extraction records;</w:t>
      </w:r>
    </w:p>
    <w:p>
      <w:pPr>
        <w:pStyle w:val="ListBullet"/>
        <w:spacing w:after="60"/>
      </w:pPr>
      <w:r>
        <w:t>Review of probabilistic genotyping inputs and outputs: run logs, parameters, number-of-contributor assumptions, mixture weights, degradation modeling, likelihood ratios, drop-out / drop-in evaluations;</w:t>
      </w:r>
    </w:p>
    <w:p>
      <w:pPr>
        <w:pStyle w:val="ListBullet"/>
        <w:spacing w:after="60"/>
      </w:pPr>
      <w:r>
        <w:t>Evaluation of mixture interpretation: contributor count, mixture ratios, analytical and stochastic thresholds, stutter interpretation, allele assignments;</w:t>
      </w:r>
    </w:p>
    <w:p>
      <w:pPr>
        <w:pStyle w:val="ListBullet"/>
        <w:spacing w:after="60"/>
      </w:pPr>
      <w:r>
        <w:t>Review of SOPs in effect at testing, validation documents for the lab’s probabilistic genotyping implementation, and quality assurance records;</w:t>
      </w:r>
    </w:p>
    <w:p>
      <w:pPr>
        <w:pStyle w:val="ListBullet"/>
        <w:spacing w:after="60"/>
      </w:pPr>
      <w:r>
        <w:t>Written findings identifying limitations, alternative explanations, and cross-examination points; consultation with counsel.</w:t>
      </w:r>
    </w:p>
    <w:p>
      <w:pPr>
        <w:spacing w:after="120"/>
      </w:pPr>
      <w:r>
        <w:rPr>
          <w:b/>
        </w:rPr>
        <w:t xml:space="preserve">5. </w:t>
      </w:r>
      <w:r>
        <w:t>Mr. Meeh’s rate is $160 per hour for full case review and written opinion. Estimated scope:</w:t>
      </w:r>
    </w:p>
    <w:tbl>
      <w:tblPr>
        <w:tblStyle w:val="TableGrid"/>
        <w:tblW w:type="auto" w:w="0"/>
        <w:jc w:val="center"/>
        <w:tblLook w:firstColumn="1" w:firstRow="1" w:lastColumn="0" w:lastRow="0" w:noHBand="0" w:noVBand="1" w:val="04A0"/>
      </w:tblPr>
      <w:tblGrid>
        <w:gridCol w:w="3264"/>
        <w:gridCol w:w="3264"/>
        <w:gridCol w:w="3264"/>
      </w:tblGrid>
      <w:tr>
        <w:tc>
          <w:tcPr>
            <w:tcW w:type="dxa" w:w="3264"/>
            <w:shd w:val="clear" w:fill="F2F6F9"/>
          </w:tcPr>
          <w:p>
            <w:r/>
            <w:r>
              <w:rPr>
                <w:b/>
              </w:rPr>
              <w:t>Task</w:t>
            </w:r>
          </w:p>
        </w:tc>
        <w:tc>
          <w:tcPr>
            <w:tcW w:type="dxa" w:w="3264"/>
            <w:shd w:val="clear" w:fill="F2F6F9"/>
          </w:tcPr>
          <w:p>
            <w:pPr>
              <w:jc w:val="right"/>
            </w:pPr>
            <w:r/>
            <w:r>
              <w:rPr>
                <w:b/>
              </w:rPr>
              <w:t>Hours</w:t>
            </w:r>
          </w:p>
        </w:tc>
        <w:tc>
          <w:tcPr>
            <w:tcW w:type="dxa" w:w="3264"/>
            <w:shd w:val="clear" w:fill="F2F6F9"/>
          </w:tcPr>
          <w:p>
            <w:pPr>
              <w:jc w:val="right"/>
            </w:pPr>
            <w:r/>
            <w:r>
              <w:rPr>
                <w:b/>
              </w:rPr>
              <w:t>Fee</w:t>
            </w:r>
          </w:p>
        </w:tc>
      </w:tr>
      <w:tr>
        <w:tc>
          <w:tcPr>
            <w:tcW w:type="dxa" w:w="3264"/>
          </w:tcPr>
          <w:p>
            <w:r/>
            <w:r>
              <w:t>Initial screening of laboratory reports</w:t>
            </w:r>
          </w:p>
        </w:tc>
        <w:tc>
          <w:tcPr>
            <w:tcW w:type="dxa" w:w="3264"/>
          </w:tcPr>
          <w:p>
            <w:pPr>
              <w:jc w:val="right"/>
            </w:pPr>
            <w:r/>
            <w:r>
              <w:t>2</w:t>
            </w:r>
          </w:p>
        </w:tc>
        <w:tc>
          <w:tcPr>
            <w:tcW w:type="dxa" w:w="3264"/>
          </w:tcPr>
          <w:p>
            <w:pPr>
              <w:jc w:val="right"/>
            </w:pPr>
            <w:r/>
            <w:r>
              <w:t>$320</w:t>
            </w:r>
          </w:p>
        </w:tc>
      </w:tr>
      <w:tr>
        <w:tc>
          <w:tcPr>
            <w:tcW w:type="dxa" w:w="3264"/>
          </w:tcPr>
          <w:p>
            <w:r/>
            <w:r>
              <w:t>Full review of case file, electropherograms, raw data</w:t>
            </w:r>
          </w:p>
        </w:tc>
        <w:tc>
          <w:tcPr>
            <w:tcW w:type="dxa" w:w="3264"/>
          </w:tcPr>
          <w:p>
            <w:pPr>
              <w:jc w:val="right"/>
            </w:pPr>
            <w:r/>
            <w:r>
              <w:t>8</w:t>
            </w:r>
          </w:p>
        </w:tc>
        <w:tc>
          <w:tcPr>
            <w:tcW w:type="dxa" w:w="3264"/>
          </w:tcPr>
          <w:p>
            <w:pPr>
              <w:jc w:val="right"/>
            </w:pPr>
            <w:r/>
            <w:r>
              <w:t>$1,280</w:t>
            </w:r>
          </w:p>
        </w:tc>
      </w:tr>
      <w:tr>
        <w:tc>
          <w:tcPr>
            <w:tcW w:type="dxa" w:w="3264"/>
          </w:tcPr>
          <w:p>
            <w:r/>
            <w:r>
              <w:t>Review of probabilistic genotyping runs and parameters</w:t>
            </w:r>
          </w:p>
        </w:tc>
        <w:tc>
          <w:tcPr>
            <w:tcW w:type="dxa" w:w="3264"/>
          </w:tcPr>
          <w:p>
            <w:pPr>
              <w:jc w:val="right"/>
            </w:pPr>
            <w:r/>
            <w:r>
              <w:t>4</w:t>
            </w:r>
          </w:p>
        </w:tc>
        <w:tc>
          <w:tcPr>
            <w:tcW w:type="dxa" w:w="3264"/>
          </w:tcPr>
          <w:p>
            <w:pPr>
              <w:jc w:val="right"/>
            </w:pPr>
            <w:r/>
            <w:r>
              <w:t>$640</w:t>
            </w:r>
          </w:p>
        </w:tc>
      </w:tr>
      <w:tr>
        <w:tc>
          <w:tcPr>
            <w:tcW w:type="dxa" w:w="3264"/>
          </w:tcPr>
          <w:p>
            <w:r/>
            <w:r>
              <w:t>Analysis and written findings</w:t>
            </w:r>
          </w:p>
        </w:tc>
        <w:tc>
          <w:tcPr>
            <w:tcW w:type="dxa" w:w="3264"/>
          </w:tcPr>
          <w:p>
            <w:pPr>
              <w:jc w:val="right"/>
            </w:pPr>
            <w:r/>
            <w:r>
              <w:t>4</w:t>
            </w:r>
          </w:p>
        </w:tc>
        <w:tc>
          <w:tcPr>
            <w:tcW w:type="dxa" w:w="3264"/>
          </w:tcPr>
          <w:p>
            <w:pPr>
              <w:jc w:val="right"/>
            </w:pPr>
            <w:r/>
            <w:r>
              <w:t>$640</w:t>
            </w:r>
          </w:p>
        </w:tc>
      </w:tr>
      <w:tr>
        <w:tc>
          <w:tcPr>
            <w:tcW w:type="dxa" w:w="3264"/>
          </w:tcPr>
          <w:p>
            <w:r/>
            <w:r>
              <w:t>Attorney consultation</w:t>
            </w:r>
          </w:p>
        </w:tc>
        <w:tc>
          <w:tcPr>
            <w:tcW w:type="dxa" w:w="3264"/>
          </w:tcPr>
          <w:p>
            <w:pPr>
              <w:jc w:val="right"/>
            </w:pPr>
            <w:r/>
            <w:r>
              <w:t>2</w:t>
            </w:r>
          </w:p>
        </w:tc>
        <w:tc>
          <w:tcPr>
            <w:tcW w:type="dxa" w:w="3264"/>
          </w:tcPr>
          <w:p>
            <w:pPr>
              <w:jc w:val="right"/>
            </w:pPr>
            <w:r/>
            <w:r>
              <w:t>$320</w:t>
            </w:r>
          </w:p>
        </w:tc>
      </w:tr>
      <w:tr>
        <w:tc>
          <w:tcPr>
            <w:tcW w:type="dxa" w:w="3264"/>
          </w:tcPr>
          <w:p>
            <w:r/>
            <w:r>
              <w:rPr>
                <w:b/>
              </w:rPr>
              <w:t>Total estimated</w:t>
            </w:r>
          </w:p>
        </w:tc>
        <w:tc>
          <w:tcPr>
            <w:tcW w:type="dxa" w:w="3264"/>
          </w:tcPr>
          <w:p>
            <w:pPr>
              <w:jc w:val="right"/>
            </w:pPr>
            <w:r/>
            <w:r>
              <w:rPr>
                <w:b/>
              </w:rPr>
              <w:t>20</w:t>
            </w:r>
          </w:p>
        </w:tc>
        <w:tc>
          <w:tcPr>
            <w:tcW w:type="dxa" w:w="3264"/>
          </w:tcPr>
          <w:p>
            <w:pPr>
              <w:jc w:val="right"/>
            </w:pPr>
            <w:r/>
            <w:r>
              <w:rPr>
                <w:b/>
              </w:rPr>
              <w:t>$3,200</w:t>
            </w:r>
          </w:p>
        </w:tc>
      </w:tr>
    </w:tbl>
    <w:p>
      <w:pPr>
        <w:spacing w:after="40"/>
      </w:pPr>
    </w:p>
    <w:p>
      <w:pPr>
        <w:spacing w:after="120"/>
      </w:pPr>
      <w:r>
        <w:rPr>
          <w:i/>
        </w:rPr>
        <w:t>[Adjust hours and total to the case. Keep the initial authorization modest; seek a supplemental order if more work is needed.]</w:t>
      </w:r>
    </w:p>
    <w:p>
      <w:pPr>
        <w:spacing w:after="120"/>
      </w:pPr>
      <w:r>
        <w:rPr>
          <w:b/>
        </w:rPr>
        <w:t xml:space="preserve">6. </w:t>
      </w:r>
      <w:r>
        <w:t>S.C. Code Ann. § 17-3-50(B) provides that upon an ex parte finding that expert services are reasonably necessary, the court shall authorize counsel to obtain them and shall authorize payment, from funds available to the Commission on Indigent Defense, of fees and expenses not to exceed $500. Payment above $500 is authorized only if the court certifies, in a written order with specific findings of fact, prior to the expense being incurred, that the higher payment is appropriate because the services are reasonably necessary to provide an adequate defense. The requested services are reasonably necessary because [ADAPT: insert the paragraph from the Necessity Checklist, tailored to this case].</w:t>
      </w:r>
    </w:p>
    <w:p>
      <w:pPr>
        <w:spacing w:after="120"/>
      </w:pPr>
      <w:r>
        <w:rPr>
          <w:b/>
        </w:rPr>
        <w:t xml:space="preserve">7. </w:t>
      </w:r>
      <w:r>
        <w:t>Because the estimated fee exceeds $500, Defendant requests that the Court certify in its written order, with specific findings of fact, that payment above the $500 limit is appropriate because these services are reasonably necessary to an adequate defense, and authorize payment from funds available to the Office of Indigent Defense at $160 per hour, not to exceed $[________], for work performed on or after the date of the order.</w:t>
      </w:r>
    </w:p>
    <w:p>
      <w:pPr>
        <w:spacing w:after="120"/>
      </w:pPr>
      <w:r>
        <w:rPr>
          <w:b/>
        </w:rPr>
        <w:t>WHEREFORE</w:t>
      </w:r>
      <w:r>
        <w:t>, Defendant requests that the Court grant this motion ex parte and under seal and issue the proposed order authorizing counsel to retain Paul F. Meeh at $160 per hour, not to exceed $[________], payable from funds available to the Office of Indigent Defense, with any additional work requiring prior written court approval.</w:t>
      </w:r>
    </w:p>
    <w:p>
      <w:pPr>
        <w:spacing w:after="120"/>
      </w:pPr>
      <w:r>
        <w:t>Respectfully submitted,</w:t>
      </w:r>
    </w:p>
    <w:p>
      <w:pPr>
        <w:spacing w:after="40"/>
      </w:pPr>
    </w:p>
    <w:p>
      <w:pPr>
        <w:spacing w:after="40"/>
      </w:pPr>
      <w:r>
        <w:rPr>
          <w:sz w:val="20"/>
        </w:rPr>
        <w:t>[Attorney Name], SC Bar No. [________]</w:t>
      </w:r>
    </w:p>
    <w:p>
      <w:pPr>
        <w:spacing w:after="40"/>
      </w:pPr>
      <w:r>
        <w:rPr>
          <w:sz w:val="20"/>
        </w:rPr>
        <w:t>[Firm / Office], [Address]</w:t>
      </w:r>
    </w:p>
    <w:p>
      <w:pPr>
        <w:spacing w:after="40"/>
      </w:pPr>
      <w:r>
        <w:rPr>
          <w:sz w:val="20"/>
        </w:rPr>
        <w:t>[Phone], [Email]</w:t>
      </w:r>
    </w:p>
    <w:p>
      <w:pPr>
        <w:spacing w:after="40"/>
      </w:pPr>
      <w:r>
        <w:rPr>
          <w:sz w:val="20"/>
        </w:rPr>
        <w:t>Counsel for Defendant    |    Date: [________]</w:t>
      </w:r>
    </w:p>
    <w:p>
      <w:pPr>
        <w:spacing w:before="200" w:after="80"/>
      </w:pPr>
      <w:r>
        <w:rPr>
          <w:rFonts w:ascii="Georgia" w:hAnsi="Georgia"/>
          <w:b/>
          <w:color w:val="0C2947"/>
          <w:sz w:val="25"/>
        </w:rPr>
        <w:t>Proposed Order</w:t>
      </w:r>
    </w:p>
    <w:p>
      <w:pPr>
        <w:spacing w:after="160"/>
        <w:jc w:val="center"/>
      </w:pPr>
      <w:r>
        <w:rPr>
          <w:sz w:val="20"/>
        </w:rPr>
        <w:t>STATE OF SOUTH CAROLINA, COUNTY OF [________]</w:t>
      </w:r>
      <w:r>
        <w:br/>
      </w:r>
      <w:r>
        <w:rPr>
          <w:sz w:val="20"/>
        </w:rPr>
        <w:t>State vs. [Defendant Name], Indictment No. [________]</w:t>
      </w:r>
    </w:p>
    <w:p>
      <w:pPr>
        <w:spacing w:before="120" w:after="160"/>
        <w:jc w:val="center"/>
      </w:pPr>
      <w:r>
        <w:rPr>
          <w:b/>
          <w:sz w:val="23"/>
          <w:u w:val="single"/>
        </w:rPr>
        <w:t>ORDER AUTHORIZING INDEPENDENT DNA EXPERT SERVICES</w:t>
      </w:r>
    </w:p>
    <w:p>
      <w:pPr>
        <w:spacing w:after="120"/>
      </w:pPr>
      <w:r>
        <w:t>This matter came before the Court ex parte on Defendant’s motion. The Court, having reviewed the motion, FINDS in ex parte proceedings that: (1) Defendant is indigent and represented by appointed counsel; (2) DNA evidence is a significant factor at trial; (3) independent review of the State’s DNA analysis, including electropherograms, quantification data, probabilistic genotyping inputs and outputs, mixture interpretation, and laboratory procedures, is reasonably necessary to the defense; (4) the requested services cannot be obtained within the $500 limit of S.C. Code Ann. § 17-3-50(B); and (5) payment above the $500 limit is appropriate because the services are reasonably necessary to an adequate defense, specifically in that [________] [1-2 case-specific findings, e.g., “the DNA evidence is the central evidence of identity” / “the evidence is a complex mixture interpreted with probabilistic genotyping software”].</w:t>
      </w:r>
    </w:p>
    <w:p>
      <w:pPr>
        <w:spacing w:after="120"/>
      </w:pPr>
      <w:r>
        <w:rPr>
          <w:b/>
        </w:rPr>
        <w:t>IT IS HEREBY ORDERED</w:t>
      </w:r>
      <w:r>
        <w:t xml:space="preserve"> that: (1) counsel is authorized to retain Paul F. Meeh, Forensic DNA Consultant, at $160 per hour, not to exceed $[________] without prior written approval of this Court; (2) no fees may be paid for services performed before the date of this Order; (3) the expert shall invoice in tenths of an hour, showing date, task, and time for each task, at least monthly; (4) vouchers shall be submitted under the SCCID Voucher Payment Policy, and counsel shall upload a copy of this signed Order through the SCCID website within 15 days of signature; and (5) this motion and Order shall be filed under seal.</w:t>
      </w:r>
    </w:p>
    <w:p>
      <w:pPr>
        <w:spacing w:after="120"/>
      </w:pPr>
      <w:r>
        <w:rPr>
          <w:b/>
        </w:rPr>
        <w:t>AND IT IS SO ORDERED.</w:t>
      </w:r>
    </w:p>
    <w:p>
      <w:pPr>
        <w:spacing w:after="40"/>
      </w:pPr>
    </w:p>
    <w:p>
      <w:pPr>
        <w:spacing w:after="40"/>
      </w:pPr>
      <w:r>
        <w:rPr>
          <w:sz w:val="20"/>
        </w:rPr>
        <w:t>The Honorable [________], Circuit Judge    |    Date: [________]</w:t>
      </w:r>
    </w:p>
    <w:p>
      <w:pPr>
        <w:spacing w:before="200"/>
      </w:pPr>
      <w:r>
        <w:rPr>
          <w:i/>
          <w:color w:val="444444"/>
          <w:sz w:val="17"/>
        </w:rPr>
        <w:t>Template note. Prepared by Paul F. Meeh, Forensic DNA Consultant, former SLED Senior Forensic Scientist, (803) 312-5504, paulfmeeh@gmail.com. This is a template for adaptation by counsel, not legal advice. Confirm current SCCID voucher procedures at sccid.sc.gov before filing.</w:t>
      </w:r>
    </w:p>
    <w:sectPr w:rsidR="00FC693F" w:rsidRPr="0006063C" w:rsidSect="00034616">
      <w:pgSz w:w="12240" w:h="15840"/>
      <w:pgMar w:top="1080" w:right="1224" w:bottom="1080" w:left="122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6" w:lineRule="auto"/>
    </w:pPr>
    <w:rPr>
      <w:rFonts w:ascii="Calibri" w:hAnsi="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