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Georgia" w:hAnsi="Georgia"/>
          <w:b/>
          <w:color w:val="0C2947"/>
          <w:sz w:val="32"/>
        </w:rPr>
        <w:t>Why Independent DNA Review Is Necessary</w:t>
      </w:r>
    </w:p>
    <w:p>
      <w:pPr>
        <w:spacing w:after="200"/>
        <w:jc w:val="center"/>
      </w:pPr>
      <w:r>
        <w:rPr>
          <w:i/>
          <w:color w:val="444444"/>
          <w:sz w:val="19"/>
        </w:rPr>
        <w:t>Attorney checklist. Check every box that applies, fill in the blanks (10-15 minutes),</w:t>
      </w:r>
      <w:r>
        <w:br/>
      </w:r>
      <w:r>
        <w:rPr>
          <w:i/>
          <w:color w:val="444444"/>
          <w:sz w:val="19"/>
        </w:rPr>
        <w:t>then paste the paragraph at the end into your funding motion.</w:t>
      </w:r>
    </w:p>
    <w:p>
      <w:pPr>
        <w:spacing w:after="120"/>
      </w:pPr>
      <w:r>
        <w:rPr>
          <w:b/>
        </w:rPr>
        <w:t xml:space="preserve">Defendant: </w:t>
      </w:r>
      <w:r>
        <w:t xml:space="preserve">[________]    </w:t>
      </w:r>
      <w:r>
        <w:rPr>
          <w:b/>
        </w:rPr>
        <w:t xml:space="preserve">Indictment No.: </w:t>
      </w:r>
      <w:r>
        <w:t xml:space="preserve">[________]    </w:t>
      </w:r>
      <w:r>
        <w:rPr>
          <w:b/>
        </w:rPr>
        <w:t xml:space="preserve">Laboratory: </w:t>
      </w:r>
      <w:r>
        <w:t xml:space="preserve">[________]    </w:t>
      </w:r>
      <w:r>
        <w:rPr>
          <w:b/>
        </w:rPr>
        <w:t xml:space="preserve">Report date(s): </w:t>
      </w:r>
      <w:r>
        <w:t>[________]</w:t>
      </w:r>
    </w:p>
    <w:p>
      <w:pPr>
        <w:spacing w:before="200" w:after="80"/>
      </w:pPr>
      <w:r>
        <w:rPr>
          <w:rFonts w:ascii="Georgia" w:hAnsi="Georgia"/>
          <w:b/>
          <w:color w:val="0C2947"/>
          <w:sz w:val="25"/>
        </w:rPr>
        <w:t>Check all that apply</w:t>
      </w:r>
    </w:p>
    <w:p>
      <w:pPr>
        <w:spacing w:after="80"/>
      </w:pPr>
      <w:r>
        <w:rPr>
          <w:sz w:val="26"/>
        </w:rPr>
        <w:t xml:space="preserve">☐  </w:t>
      </w:r>
      <w:r>
        <w:rPr>
          <w:b/>
        </w:rPr>
        <w:t xml:space="preserve">Complex mixture. </w:t>
      </w:r>
      <w:r>
        <w:t>The evidence item contains DNA from [__] or more contributors. Approximate mixture ratio [__:__]. The lab’s contributor count and ratio drive every conclusion that follows.</w:t>
      </w:r>
    </w:p>
    <w:p>
      <w:pPr>
        <w:spacing w:after="80"/>
      </w:pPr>
      <w:r>
        <w:rPr>
          <w:sz w:val="26"/>
        </w:rPr>
        <w:t xml:space="preserve">☐  </w:t>
      </w:r>
      <w:r>
        <w:rPr>
          <w:b/>
        </w:rPr>
        <w:t xml:space="preserve">Low-template / touch DNA. </w:t>
      </w:r>
      <w:r>
        <w:t>Total DNA input at or below [__] ng (approx. [__] cells). Sample amplified at [__] cycles. Sub-threshold or stochastic effects (drop-out, drop-in, exaggerated stutter) visible or expected.</w:t>
      </w:r>
    </w:p>
    <w:p>
      <w:pPr>
        <w:spacing w:after="80"/>
      </w:pPr>
      <w:r>
        <w:rPr>
          <w:sz w:val="26"/>
        </w:rPr>
        <w:t xml:space="preserve">☐  </w:t>
      </w:r>
      <w:r>
        <w:rPr>
          <w:b/>
        </w:rPr>
        <w:t xml:space="preserve">Probabilistic genotyping. </w:t>
      </w:r>
      <w:r>
        <w:t>Interpreted with [STRmix / TrueAllele / other: __]. Reported likelihood ratio: [__]. Number-of-contributor assumption: [__]. The LR is conditioned on the lab’s assumptions; alternative assumptions can change it by orders of magnitude.</w:t>
      </w:r>
    </w:p>
    <w:p>
      <w:pPr>
        <w:spacing w:after="80"/>
      </w:pPr>
      <w:r>
        <w:rPr>
          <w:sz w:val="26"/>
        </w:rPr>
        <w:t xml:space="preserve">☐  </w:t>
      </w:r>
      <w:r>
        <w:rPr>
          <w:b/>
        </w:rPr>
        <w:t xml:space="preserve">Drop-out / drop-in. </w:t>
      </w:r>
      <w:r>
        <w:t>Allele drop-out reported at [__] loci; drop-in or unexplained peaks in [__] samples. Each instance weakens the statistical weight of the reported match.</w:t>
      </w:r>
    </w:p>
    <w:p>
      <w:pPr>
        <w:spacing w:after="80"/>
      </w:pPr>
      <w:r>
        <w:rPr>
          <w:sz w:val="26"/>
        </w:rPr>
        <w:t xml:space="preserve">☐  </w:t>
      </w:r>
      <w:r>
        <w:rPr>
          <w:b/>
        </w:rPr>
        <w:t xml:space="preserve">Secondary transfer. </w:t>
      </w:r>
      <w:r>
        <w:t>The DNA could have arrived by secondary or tertiary transfer. No activity-level analysis was performed; presence of DNA does not establish how or when it was deposited.</w:t>
      </w:r>
    </w:p>
    <w:p>
      <w:pPr>
        <w:spacing w:after="80"/>
      </w:pPr>
      <w:r>
        <w:rPr>
          <w:sz w:val="26"/>
        </w:rPr>
        <w:t xml:space="preserve">☐  </w:t>
      </w:r>
      <w:r>
        <w:rPr>
          <w:b/>
        </w:rPr>
        <w:t xml:space="preserve">Serology-to-DNA discontinuity. </w:t>
      </w:r>
      <w:r>
        <w:t>Presumptive or confirmatory serology results do not align with the DNA result (e.g., [negative acid phosphatase with a DNA profile reported]).</w:t>
      </w:r>
    </w:p>
    <w:p>
      <w:pPr>
        <w:spacing w:after="80"/>
      </w:pPr>
      <w:r>
        <w:rPr>
          <w:sz w:val="26"/>
        </w:rPr>
        <w:t xml:space="preserve">☐  </w:t>
      </w:r>
      <w:r>
        <w:rPr>
          <w:b/>
        </w:rPr>
        <w:t xml:space="preserve">Validation and parameter questions. </w:t>
      </w:r>
      <w:r>
        <w:t>Analytical threshold [__ RFU]; stochastic threshold [__ RFU]; stutter filters [lab default / modified: __]. Lab validation studies for this kit and these conditions: [obtained / not obtained]. The analyst’s parameters determine which peaks count.</w:t>
      </w:r>
    </w:p>
    <w:p>
      <w:pPr>
        <w:spacing w:after="80"/>
      </w:pPr>
      <w:r>
        <w:rPr>
          <w:sz w:val="26"/>
        </w:rPr>
        <w:t xml:space="preserve">☐  </w:t>
      </w:r>
      <w:r>
        <w:rPr>
          <w:b/>
        </w:rPr>
        <w:t xml:space="preserve">DNA is central or the sole evidence of identity. </w:t>
      </w:r>
      <w:r>
        <w:t>[No eyewitness / no confession / no video]. The DNA result is the primary link between the defendant and [item / offense]. If the DNA conclusion falls, the State’s case changes materially.</w:t>
      </w:r>
    </w:p>
    <w:p>
      <w:pPr>
        <w:spacing w:before="200" w:after="80"/>
      </w:pPr>
      <w:r>
        <w:rPr>
          <w:rFonts w:ascii="Georgia" w:hAnsi="Georgia"/>
          <w:b/>
          <w:color w:val="0C2947"/>
          <w:sz w:val="25"/>
        </w:rPr>
        <w:t>Copy-paste paragraph for your motion</w:t>
      </w:r>
    </w:p>
    <w:tbl>
      <w:tblPr>
        <w:tblStyle w:val="TableGrid"/>
        <w:tblW w:type="auto" w:w="0"/>
        <w:tblLook w:firstColumn="1" w:firstRow="1" w:lastColumn="0" w:lastRow="0" w:noHBand="0" w:noVBand="1" w:val="04A0"/>
      </w:tblPr>
      <w:tblGrid>
        <w:gridCol w:w="9792"/>
      </w:tblGrid>
      <w:tr>
        <w:tc>
          <w:tcPr>
            <w:tcW w:type="dxa" w:w="9792"/>
            <w:shd w:val="clear" w:fill="F7FAFC"/>
          </w:tcPr>
          <w:p>
            <w:r>
              <w:t>Independent review of the State’s DNA evidence is reasonably necessary because the laboratory’s conclusions cannot be verified from its report alone. The evidence [is a complex mixture of __ or more contributors / involves low-template DNA at approximately __ ng input / was interpreted with probabilistic genotyping software under assumptions counsel cannot evaluate / ADAPT: insert the checked items above]. A former SLED Senior Forensic Scientist with 13 years of accredited DNA and serology casework will review the electropherograms, quantification data, probabilistic genotyping inputs and outputs, mixture interpretation, and laboratory procedures. The review will produce concrete deliverables: identified limitations in the analysis, alternative explanations for the reported results, and specific cross-examination points for trial. Without this review, counsel cannot effectively challenge the State’s central evidence or accurately advise the defendant on the strength of the case.</w:t>
            </w:r>
          </w:p>
        </w:tc>
      </w:tr>
    </w:tbl>
    <w:p>
      <w:pPr>
        <w:spacing w:after="40"/>
      </w:pPr>
    </w:p>
    <w:p>
      <w:pPr>
        <w:spacing w:before="200" w:after="80"/>
      </w:pPr>
      <w:r>
        <w:rPr>
          <w:rFonts w:ascii="Georgia" w:hAnsi="Georgia"/>
          <w:b/>
          <w:color w:val="0C2947"/>
          <w:sz w:val="25"/>
        </w:rPr>
        <w:t>What the review delivers</w:t>
      </w:r>
    </w:p>
    <w:p>
      <w:pPr>
        <w:pStyle w:val="ListBullet"/>
        <w:spacing w:after="60"/>
      </w:pPr>
      <w:r>
        <w:rPr>
          <w:b/>
        </w:rPr>
        <w:t xml:space="preserve">Limitations: </w:t>
      </w:r>
      <w:r>
        <w:t>what the DNA evidence cannot show, stated quantitatively (LR under alternative assumptions, contributor counts the data cannot resolve).</w:t>
      </w:r>
    </w:p>
    <w:p>
      <w:pPr>
        <w:pStyle w:val="ListBullet"/>
        <w:spacing w:after="60"/>
      </w:pPr>
      <w:r>
        <w:rPr>
          <w:b/>
        </w:rPr>
        <w:t xml:space="preserve">Alternative explanations: </w:t>
      </w:r>
      <w:r>
        <w:t>transfer, contamination, and interpretation scenarios consistent with the data.</w:t>
      </w:r>
    </w:p>
    <w:p>
      <w:pPr>
        <w:pStyle w:val="ListBullet"/>
        <w:spacing w:after="60"/>
      </w:pPr>
      <w:r>
        <w:rPr>
          <w:b/>
        </w:rPr>
        <w:t xml:space="preserve">Cross-examination points: </w:t>
      </w:r>
      <w:r>
        <w:t>specific analyst choices, thresholds, and assumptions to challenge at trial.</w:t>
      </w:r>
    </w:p>
    <w:p>
      <w:pPr>
        <w:spacing w:before="160"/>
      </w:pPr>
      <w:r>
        <w:rPr>
          <w:b/>
        </w:rPr>
        <w:t>Prepared by Paul F. Meeh, Forensic DNA Consultant</w:t>
      </w:r>
      <w:r>
        <w:rPr>
          <w:sz w:val="18"/>
        </w:rPr>
        <w:t>, former SLED Senior Forensic Scientist (13 years DNA and serology casework; validated and implemented STRmix; qualified and testified as an expert in state and federal court). (803) 312-5504 | paulfmeeh@gmail.com | meehdna.com</w:t>
      </w:r>
    </w:p>
    <w:p>
      <w:r>
        <w:rPr>
          <w:i/>
          <w:color w:val="444444"/>
          <w:sz w:val="17"/>
        </w:rPr>
        <w:t>This is a template for adaptation by counsel, not legal advice. Delete bracketed instructions before use.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